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5A4C6F5"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N WG1 Ad-Hoc Meeting 1901</w:t>
      </w:r>
      <w:r w:rsidR="001348FE">
        <w:rPr>
          <w:bCs/>
          <w:noProof w:val="0"/>
          <w:sz w:val="24"/>
          <w:szCs w:val="24"/>
        </w:rPr>
        <w:tab/>
      </w:r>
      <w:r w:rsidR="00F7038E">
        <w:rPr>
          <w:bCs/>
          <w:noProof w:val="0"/>
          <w:sz w:val="24"/>
          <w:szCs w:val="24"/>
        </w:rPr>
        <w:t>R1-1901020</w:t>
      </w:r>
    </w:p>
    <w:p w14:paraId="30E02940" w14:textId="3E50957B" w:rsidR="00CA26CE" w:rsidRDefault="00BA1872" w:rsidP="00CA26CE">
      <w:pPr>
        <w:pStyle w:val="Header"/>
        <w:rPr>
          <w:bCs/>
          <w:noProof w:val="0"/>
          <w:sz w:val="24"/>
          <w:szCs w:val="24"/>
        </w:rPr>
      </w:pPr>
      <w:r>
        <w:rPr>
          <w:bCs/>
          <w:noProof w:val="0"/>
          <w:sz w:val="24"/>
          <w:szCs w:val="24"/>
        </w:rPr>
        <w:t>Taipei, Taiwan, 21</w:t>
      </w:r>
      <w:r w:rsidRPr="00BA1872">
        <w:rPr>
          <w:bCs/>
          <w:noProof w:val="0"/>
          <w:sz w:val="24"/>
          <w:szCs w:val="24"/>
          <w:vertAlign w:val="superscript"/>
        </w:rPr>
        <w:t>st</w:t>
      </w:r>
      <w:r>
        <w:rPr>
          <w:bCs/>
          <w:noProof w:val="0"/>
          <w:sz w:val="24"/>
          <w:szCs w:val="24"/>
        </w:rPr>
        <w:t xml:space="preserve"> – 25</w:t>
      </w:r>
      <w:r w:rsidRPr="00BA1872">
        <w:rPr>
          <w:bCs/>
          <w:noProof w:val="0"/>
          <w:sz w:val="24"/>
          <w:szCs w:val="24"/>
          <w:vertAlign w:val="superscript"/>
        </w:rPr>
        <w:t>th</w:t>
      </w:r>
      <w:r>
        <w:rPr>
          <w:bCs/>
          <w:noProof w:val="0"/>
          <w:sz w:val="24"/>
          <w:szCs w:val="24"/>
        </w:rPr>
        <w:t xml:space="preserve"> January, 2019</w:t>
      </w:r>
    </w:p>
    <w:p w14:paraId="2CFE1919" w14:textId="77777777" w:rsidR="00850D96" w:rsidRPr="00850D96" w:rsidRDefault="00850D96" w:rsidP="00CA26CE">
      <w:pPr>
        <w:pStyle w:val="Header"/>
        <w:rPr>
          <w:bCs/>
          <w:noProof w:val="0"/>
          <w:sz w:val="24"/>
          <w:lang w:val="en-GB" w:eastAsia="ja-JP"/>
        </w:rPr>
      </w:pPr>
    </w:p>
    <w:p w14:paraId="30E02941" w14:textId="13929C0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245E6">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60C21F6" w:rsidR="0034111C" w:rsidRPr="0016316A" w:rsidRDefault="0034111C" w:rsidP="7E3A78E6">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41A62" w:rsidRPr="7E3A78E6">
        <w:rPr>
          <w:rFonts w:ascii="Arial" w:hAnsi="Arial" w:cs="Arial"/>
          <w:b/>
          <w:bCs/>
          <w:sz w:val="24"/>
          <w:szCs w:val="24"/>
        </w:rPr>
        <w:t xml:space="preserve">Discussion on SA2 LS on </w:t>
      </w:r>
      <w:r w:rsidR="00E245E6" w:rsidRPr="7E3A78E6">
        <w:rPr>
          <w:rFonts w:ascii="Arial" w:hAnsi="Arial" w:cs="Arial"/>
          <w:b/>
          <w:bCs/>
          <w:sz w:val="24"/>
          <w:szCs w:val="24"/>
        </w:rPr>
        <w:t>RAN Impact analysis due to TSN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48253AEB" w:rsidR="00ED1327" w:rsidRPr="00ED1327" w:rsidRDefault="00EE7FA7" w:rsidP="00ED1327">
      <w:pPr>
        <w:pStyle w:val="Heading1"/>
      </w:pPr>
      <w:r w:rsidRPr="0016316A">
        <w:t>Introduction</w:t>
      </w:r>
    </w:p>
    <w:p w14:paraId="0CCB915E" w14:textId="191F1D23" w:rsidR="005B0D4A" w:rsidRDefault="00E245E6" w:rsidP="00A64A6E">
      <w:bookmarkStart w:id="0" w:name="_Hlk510705081"/>
      <w:r>
        <w:t xml:space="preserve">SA2 sent an LS </w:t>
      </w:r>
      <w:r w:rsidRPr="00E245E6">
        <w:t>on RAN Impact analysis due to TSN</w:t>
      </w:r>
      <w:r w:rsidR="005D7426">
        <w:t xml:space="preserve"> [1]</w:t>
      </w:r>
      <w:r>
        <w:t xml:space="preserve"> to RAN1 and RAN2 requestin</w:t>
      </w:r>
      <w:r w:rsidR="00A80A7D">
        <w:t>g “</w:t>
      </w:r>
      <w:r w:rsidR="00A80A7D">
        <w:rPr>
          <w:rFonts w:ascii="Arial" w:hAnsi="Arial" w:cs="Arial"/>
        </w:rPr>
        <w:t>RAN1/RAN2 to provide input to SA2 regarding feasibility impacts from RAN perspective for the solution options identified above. In addition, SA2 would like to request feedback on the scalability on the radio interface for solutions that require transport of gPTP time synchronisation messages using per-UE unicast transport over the air.</w:t>
      </w:r>
      <w:r w:rsidR="00A80A7D">
        <w:t>”</w:t>
      </w:r>
    </w:p>
    <w:p w14:paraId="079BD6A9" w14:textId="076F7056" w:rsidR="00A80A7D" w:rsidRDefault="00A80A7D" w:rsidP="00A64A6E">
      <w:r>
        <w:t>The SA2 LS outlines 6 different solutions that are numbered somewhat creatively, and refer to more elaborate definitions in TR23.734:</w:t>
      </w:r>
    </w:p>
    <w:tbl>
      <w:tblPr>
        <w:tblStyle w:val="TableGrid"/>
        <w:tblW w:w="0" w:type="auto"/>
        <w:tblInd w:w="279" w:type="dxa"/>
        <w:tblLook w:val="04A0" w:firstRow="1" w:lastRow="0" w:firstColumn="1" w:lastColumn="0" w:noHBand="0" w:noVBand="1"/>
      </w:tblPr>
      <w:tblGrid>
        <w:gridCol w:w="9214"/>
      </w:tblGrid>
      <w:tr w:rsidR="00B158E6" w14:paraId="055EFE61" w14:textId="77777777" w:rsidTr="00A80A7D">
        <w:tc>
          <w:tcPr>
            <w:tcW w:w="9214" w:type="dxa"/>
          </w:tcPr>
          <w:p w14:paraId="5E38FA2F" w14:textId="79D43EC3" w:rsidR="00A80A7D" w:rsidRPr="00A80A7D" w:rsidRDefault="00A80A7D" w:rsidP="00A80A7D">
            <w:pPr>
              <w:pStyle w:val="Header"/>
              <w:spacing w:after="240"/>
              <w:rPr>
                <w:rFonts w:ascii="Times New Roman" w:hAnsi="Times New Roman"/>
                <w:b w:val="0"/>
                <w:i/>
              </w:rPr>
            </w:pPr>
            <w:r w:rsidRPr="00A80A7D">
              <w:rPr>
                <w:rFonts w:ascii="Times New Roman" w:hAnsi="Times New Roman"/>
                <w:b w:val="0"/>
              </w:rPr>
              <w:t xml:space="preserve">1) Conveying timing to the UE that act as boundary master clocks towards connected TSN device via 5G specific signalling, e.g. via 5G broadcast/5G unicast frame structure. In this option, the 5G RAN utilizes its fine-frame structure (e.g. below PHY symbol level) to convey precise timing to the UE. The 5G RAN receives the TSN timing information via direct connectivity with the TSN master clock, e.g. via underlying transport network by having an embedded TSN client within the gNB (this option does not use UE specific 802.1AS messages). </w:t>
            </w:r>
            <w:r w:rsidRPr="00A80A7D">
              <w:rPr>
                <w:rFonts w:ascii="Times New Roman" w:hAnsi="Times New Roman"/>
                <w:b w:val="0"/>
                <w:i/>
              </w:rPr>
              <w:t>(</w:t>
            </w:r>
            <w:r w:rsidRPr="00A80A7D">
              <w:rPr>
                <w:rFonts w:ascii="Times New Roman" w:hAnsi="Times New Roman"/>
                <w:i/>
              </w:rPr>
              <w:t>Refer Solution #11 Option 2)</w:t>
            </w:r>
          </w:p>
          <w:p w14:paraId="4AE2B3D7" w14:textId="0EB8AE4A" w:rsidR="00A80A7D" w:rsidRPr="00A80A7D" w:rsidRDefault="00A80A7D" w:rsidP="00A80A7D">
            <w:pPr>
              <w:tabs>
                <w:tab w:val="center" w:pos="4153"/>
                <w:tab w:val="right" w:pos="8306"/>
              </w:tabs>
              <w:overflowPunct/>
              <w:autoSpaceDE/>
              <w:autoSpaceDN/>
              <w:adjustRightInd/>
              <w:spacing w:after="240"/>
              <w:textAlignment w:val="auto"/>
            </w:pPr>
            <w:r w:rsidRPr="00A80A7D">
              <w:t xml:space="preserve">2) </w:t>
            </w:r>
            <w:r w:rsidRPr="00A80A7D">
              <w:rPr>
                <w:lang w:val="en-US"/>
              </w:rPr>
              <w:t>One time-aware relay implemented with Solution#8 5G RAN is unaware of the TSN.</w:t>
            </w:r>
            <w:r w:rsidRPr="00A80A7D">
              <w:t xml:space="preserve"> The timing information from TSN working domain (external clock) is delivered via the UEs t</w:t>
            </w:r>
            <w:r w:rsidR="00B829B1">
              <w:t xml:space="preserve">o the respective End stations. </w:t>
            </w:r>
            <w:r w:rsidRPr="00A80A7D">
              <w:rPr>
                <w:lang w:val="en-US"/>
              </w:rPr>
              <w:t>The 5G internal system clock will keep these network elements synchronized so that the timestamping of the gPTP event messages is done correctly</w:t>
            </w:r>
            <w:r w:rsidRPr="00A80A7D">
              <w:t xml:space="preserve">. </w:t>
            </w:r>
            <w:r w:rsidRPr="00A80A7D">
              <w:rPr>
                <w:lang w:val="en-US"/>
              </w:rPr>
              <w:t>The 5G internal system clock can be made available to UE with signalling of time information related to absolute timing of radio frames (i.e. using SIB/RRC based methods described for LTE Rel-15). The timing information (gPTP messages, including the information on the incoming sync message timestamping) can be carried to the UE as data packets (e.g. payload).</w:t>
            </w:r>
            <w:r w:rsidRPr="00A80A7D">
              <w:t xml:space="preserve"> The time stamp is based on the 5G internal system clock. </w:t>
            </w:r>
            <w:r w:rsidRPr="00A80A7D">
              <w:rPr>
                <w:b/>
                <w:i/>
              </w:rPr>
              <w:t>(Refer Solution #11 Options 3).</w:t>
            </w:r>
          </w:p>
          <w:p w14:paraId="761A25FB" w14:textId="77777777" w:rsidR="00A80A7D" w:rsidRPr="00A80A7D" w:rsidRDefault="00A80A7D" w:rsidP="00A80A7D">
            <w:pPr>
              <w:tabs>
                <w:tab w:val="center" w:pos="4153"/>
                <w:tab w:val="right" w:pos="8306"/>
              </w:tabs>
              <w:overflowPunct/>
              <w:autoSpaceDE/>
              <w:autoSpaceDN/>
              <w:adjustRightInd/>
              <w:spacing w:after="240"/>
              <w:textAlignment w:val="auto"/>
              <w:rPr>
                <w:b/>
                <w:i/>
              </w:rPr>
            </w:pPr>
            <w:r w:rsidRPr="00A80A7D">
              <w:t>3) For multiple time domains:</w:t>
            </w:r>
            <w:r w:rsidRPr="00A80A7D">
              <w:rPr>
                <w:lang w:val="en-US"/>
              </w:rPr>
              <w:t xml:space="preserve"> “Multiple time domains merged into one domain using 5G clock “, </w:t>
            </w:r>
            <w:r w:rsidRPr="00A80A7D">
              <w:t>the UE only receives 5G timing information through gNB, and acts as master clock to the TSN end stations.</w:t>
            </w:r>
            <w:r w:rsidRPr="00A80A7D">
              <w:rPr>
                <w:rFonts w:eastAsia="Malgun Gothic"/>
                <w:color w:val="000000"/>
                <w:lang w:val="en-US" w:eastAsia="ko-KR"/>
              </w:rPr>
              <w:t xml:space="preserve"> </w:t>
            </w:r>
            <w:r w:rsidRPr="00A80A7D">
              <w:rPr>
                <w:lang w:val="en-US"/>
              </w:rPr>
              <w:t xml:space="preserve">In this solution each interface of the 5G system is seen by the connected TSN networks and by the End stations, as separate GMs, each of them operating in independent gPTP domains, but providing the same time to all the connected networks. </w:t>
            </w:r>
            <w:r w:rsidRPr="00A80A7D">
              <w:rPr>
                <w:b/>
                <w:i/>
              </w:rPr>
              <w:t>(Refer Solution #11 Options 4).</w:t>
            </w:r>
          </w:p>
          <w:p w14:paraId="642FF715" w14:textId="77777777" w:rsidR="00A80A7D" w:rsidRPr="00A80A7D" w:rsidRDefault="00A80A7D" w:rsidP="00A80A7D">
            <w:pPr>
              <w:tabs>
                <w:tab w:val="center" w:pos="4153"/>
                <w:tab w:val="right" w:pos="8306"/>
              </w:tabs>
              <w:overflowPunct/>
              <w:autoSpaceDE/>
              <w:autoSpaceDN/>
              <w:adjustRightInd/>
              <w:spacing w:after="240"/>
              <w:textAlignment w:val="auto"/>
              <w:rPr>
                <w:b/>
                <w:i/>
              </w:rPr>
            </w:pPr>
            <w:r w:rsidRPr="00A80A7D">
              <w:t xml:space="preserve">4) </w:t>
            </w:r>
            <w:r w:rsidRPr="00A80A7D">
              <w:rPr>
                <w:rFonts w:eastAsia="Malgun Gothic"/>
                <w:lang w:eastAsia="ko-KR"/>
              </w:rPr>
              <w:t xml:space="preserve">5GS gives deterministic delays between UPF and UE and 5GS acts as a link or as a TSN Bridge. When 5GS acts as a link, PTP messages containing clock information are passing through 5GS experiencing deterministic delays. 5GS need not perform any measurement/synchronization processes. When 5GS acts as a TSN bridge, the deterministic delays between UPF and UE make the residence time in 5GS be easily calculated so that 5GS can make proper correction of the PTP header’s “correctionField” with the residence time. </w:t>
            </w:r>
            <w:r w:rsidRPr="00A80A7D">
              <w:rPr>
                <w:rFonts w:eastAsia="Malgun Gothic"/>
                <w:b/>
                <w:i/>
                <w:lang w:eastAsia="ko-KR"/>
              </w:rPr>
              <w:t>(See Solution #17).</w:t>
            </w:r>
          </w:p>
          <w:p w14:paraId="1F26C5DC" w14:textId="77777777" w:rsidR="00A80A7D" w:rsidRPr="00A80A7D" w:rsidRDefault="00A80A7D" w:rsidP="00A80A7D">
            <w:pPr>
              <w:tabs>
                <w:tab w:val="center" w:pos="4153"/>
                <w:tab w:val="right" w:pos="8306"/>
              </w:tabs>
              <w:overflowPunct/>
              <w:autoSpaceDE/>
              <w:autoSpaceDN/>
              <w:adjustRightInd/>
              <w:spacing w:after="240"/>
              <w:textAlignment w:val="auto"/>
              <w:rPr>
                <w:color w:val="000000"/>
                <w:sz w:val="21"/>
                <w:szCs w:val="21"/>
                <w:lang w:eastAsia="zh-CN"/>
              </w:rPr>
            </w:pPr>
            <w:r w:rsidRPr="00A80A7D">
              <w:rPr>
                <w:color w:val="000000"/>
                <w:sz w:val="21"/>
                <w:szCs w:val="21"/>
                <w:lang w:eastAsia="zh-CN"/>
              </w:rPr>
              <w:t xml:space="preserve">5) Based on the internal synchronization, the 5GS transparently pass the external PTP message through and makes proper correction of the PTP header’s “correctionField” with the known residence time </w:t>
            </w:r>
            <w:r w:rsidRPr="00A80A7D">
              <w:rPr>
                <w:b/>
                <w:i/>
                <w:color w:val="000000"/>
                <w:sz w:val="21"/>
                <w:szCs w:val="21"/>
                <w:lang w:eastAsia="zh-CN"/>
              </w:rPr>
              <w:t>(See solution #19)</w:t>
            </w:r>
            <w:r w:rsidRPr="00A80A7D">
              <w:rPr>
                <w:color w:val="000000"/>
                <w:sz w:val="21"/>
                <w:szCs w:val="21"/>
                <w:lang w:eastAsia="zh-CN"/>
              </w:rPr>
              <w:t>.</w:t>
            </w:r>
          </w:p>
          <w:p w14:paraId="5A54E195" w14:textId="576E6FF4" w:rsidR="00B158E6" w:rsidRPr="00A80A7D" w:rsidRDefault="00A80A7D" w:rsidP="00A80A7D">
            <w:pPr>
              <w:tabs>
                <w:tab w:val="center" w:pos="4153"/>
                <w:tab w:val="right" w:pos="8306"/>
              </w:tabs>
              <w:overflowPunct/>
              <w:autoSpaceDE/>
              <w:autoSpaceDN/>
              <w:adjustRightInd/>
              <w:spacing w:after="0"/>
              <w:textAlignment w:val="auto"/>
              <w:rPr>
                <w:color w:val="000000"/>
                <w:sz w:val="21"/>
                <w:szCs w:val="21"/>
                <w:lang w:eastAsia="zh-CN"/>
              </w:rPr>
            </w:pPr>
            <w:r w:rsidRPr="00A80A7D">
              <w:rPr>
                <w:color w:val="000000"/>
              </w:rPr>
              <w:t xml:space="preserve">4) </w:t>
            </w:r>
            <w:r w:rsidRPr="00A80A7D">
              <w:rPr>
                <w:color w:val="000000"/>
                <w:sz w:val="21"/>
                <w:szCs w:val="21"/>
                <w:lang w:eastAsia="zh-CN"/>
              </w:rPr>
              <w:t xml:space="preserve">5GS acts as transparent clock with independent internal clock achieving common concept of time between UEs and UPF as well as among different UEs. This is to allow one-way measurement and control of the E2E delay </w:t>
            </w:r>
            <w:r w:rsidRPr="00A80A7D">
              <w:rPr>
                <w:b/>
                <w:i/>
                <w:color w:val="000000"/>
                <w:sz w:val="21"/>
                <w:szCs w:val="21"/>
                <w:lang w:eastAsia="zh-CN"/>
              </w:rPr>
              <w:t>(Refer Solution #28)</w:t>
            </w:r>
            <w:r w:rsidRPr="00A80A7D">
              <w:rPr>
                <w:color w:val="000000"/>
                <w:sz w:val="21"/>
                <w:szCs w:val="21"/>
                <w:lang w:eastAsia="zh-CN"/>
              </w:rPr>
              <w:t>.</w:t>
            </w:r>
          </w:p>
        </w:tc>
      </w:tr>
    </w:tbl>
    <w:p w14:paraId="11068C7C" w14:textId="57FF1705" w:rsidR="00B158E6" w:rsidRDefault="00B158E6" w:rsidP="00A64A6E"/>
    <w:bookmarkEnd w:id="0"/>
    <w:p w14:paraId="1E976996" w14:textId="4A04A920" w:rsidR="00CA570E" w:rsidRDefault="00CA570E" w:rsidP="00CA570E">
      <w:pPr>
        <w:pStyle w:val="Heading1"/>
      </w:pPr>
      <w:r>
        <w:lastRenderedPageBreak/>
        <w:t>Discussion</w:t>
      </w:r>
    </w:p>
    <w:p w14:paraId="33DDB2DA" w14:textId="59AD8634" w:rsidR="00CA570E" w:rsidRDefault="32D2336A" w:rsidP="00CA570E">
      <w:r>
        <w:t>From RAN</w:t>
      </w:r>
      <w:r w:rsidR="005D7426">
        <w:t>1</w:t>
      </w:r>
      <w:r>
        <w:t xml:space="preserve"> perspective the key differentiator between the solutions is whether</w:t>
      </w:r>
      <w:r w:rsidR="00B821F9">
        <w:t xml:space="preserve"> they rely on unicast or not. </w:t>
      </w:r>
      <w:r>
        <w:t>Thus, we can categorize the proposals as follows:</w:t>
      </w:r>
    </w:p>
    <w:p w14:paraId="1B995DE2" w14:textId="36E04FA0" w:rsidR="00941A62" w:rsidRPr="00941A62" w:rsidRDefault="32D2336A" w:rsidP="32D2336A">
      <w:pPr>
        <w:pStyle w:val="ListParagraph"/>
        <w:numPr>
          <w:ilvl w:val="0"/>
          <w:numId w:val="25"/>
        </w:numPr>
        <w:rPr>
          <w:sz w:val="20"/>
          <w:szCs w:val="20"/>
          <w:lang w:val="en-US"/>
        </w:rPr>
      </w:pPr>
      <w:r w:rsidRPr="32D2336A">
        <w:rPr>
          <w:sz w:val="20"/>
          <w:szCs w:val="20"/>
          <w:lang w:val="en-US"/>
        </w:rPr>
        <w:t xml:space="preserve">Solutions not relying on unicast delivery of the external clocks, i.e. solutions #11 options 2 and 4, where RAN is aware of external clock and </w:t>
      </w:r>
    </w:p>
    <w:p w14:paraId="23F95165" w14:textId="42BEC243" w:rsidR="00941A62" w:rsidRDefault="32D2336A" w:rsidP="32D2336A">
      <w:pPr>
        <w:pStyle w:val="ListParagraph"/>
        <w:numPr>
          <w:ilvl w:val="0"/>
          <w:numId w:val="25"/>
        </w:numPr>
        <w:rPr>
          <w:sz w:val="20"/>
          <w:szCs w:val="20"/>
          <w:lang w:val="en-US"/>
        </w:rPr>
      </w:pPr>
      <w:r w:rsidRPr="32D2336A">
        <w:rPr>
          <w:sz w:val="20"/>
          <w:szCs w:val="20"/>
          <w:lang w:val="en-US"/>
        </w:rPr>
        <w:t>Solutions relying on unicast delivery of the external clocks, i.e. Solutions #11 options 1 and 3, solutions #17, #19 and #28, where RAN is not aware of the external clock.</w:t>
      </w:r>
    </w:p>
    <w:p w14:paraId="66B4670B" w14:textId="77777777" w:rsidR="00941A62" w:rsidRPr="00941A62" w:rsidRDefault="00941A62" w:rsidP="00941A62">
      <w:pPr>
        <w:pStyle w:val="ListParagraph"/>
        <w:rPr>
          <w:sz w:val="20"/>
          <w:szCs w:val="20"/>
          <w:lang w:val="en-US"/>
        </w:rPr>
      </w:pPr>
    </w:p>
    <w:p w14:paraId="1659F95E" w14:textId="000BD603" w:rsidR="00DB41C8" w:rsidRDefault="00941A62" w:rsidP="00CA570E">
      <w:r>
        <w:t>In what comes to feasibility, as asked by SA2</w:t>
      </w:r>
      <w:r w:rsidR="00EE73BF">
        <w:t>, all the listed solutions should</w:t>
      </w:r>
      <w:r w:rsidR="00DB41C8">
        <w:t xml:space="preserve"> </w:t>
      </w:r>
      <w:r w:rsidR="00EE73BF">
        <w:t xml:space="preserve">be </w:t>
      </w:r>
      <w:r w:rsidR="00DB41C8">
        <w:t>feasible from the RAN1 perspective, physical layer is able to deliv</w:t>
      </w:r>
      <w:r w:rsidR="00EE73BF">
        <w:t>er messages to the UEs, while RAN2 is better positioned to provide comments on the architecture aspects.</w:t>
      </w:r>
    </w:p>
    <w:p w14:paraId="758C9500" w14:textId="5649295D" w:rsidR="00EE73BF" w:rsidRDefault="32D2336A" w:rsidP="00CA570E">
      <w:r>
        <w:t xml:space="preserve">In what comes to scalability, as noted above, the solutions </w:t>
      </w:r>
      <w:r w:rsidR="00610469">
        <w:t>where RAN</w:t>
      </w:r>
      <w:r w:rsidR="007F21A4">
        <w:t xml:space="preserve"> is not aware of external clocks</w:t>
      </w:r>
      <w:r w:rsidR="00610469">
        <w:t xml:space="preserve"> </w:t>
      </w:r>
      <w:r>
        <w:t>would require unicast connection with all UEs, while solutions where RAN is aware of external clock</w:t>
      </w:r>
      <w:r w:rsidR="007F21A4">
        <w:t>s</w:t>
      </w:r>
      <w:r>
        <w:t xml:space="preserve"> </w:t>
      </w:r>
      <w:bookmarkStart w:id="1" w:name="_Hlk534958765"/>
      <w:r>
        <w:t>would allow for broadcasting the timing information</w:t>
      </w:r>
      <w:bookmarkEnd w:id="1"/>
      <w:r>
        <w:t xml:space="preserve">. Thus, the category A) solutions, if using broadcast messages to deliver the timing information to the UEs don’t require more </w:t>
      </w:r>
      <w:r w:rsidR="00CF2D45">
        <w:t>air interface resources</w:t>
      </w:r>
      <w:r>
        <w:t xml:space="preserve"> when the number of users to be served increases, while the category B) solutions </w:t>
      </w:r>
      <w:r w:rsidR="00CF2D45">
        <w:t>require an increasing amount of air interface resources</w:t>
      </w:r>
      <w:r>
        <w:t xml:space="preserve"> when the number of served UEs increases.</w:t>
      </w:r>
    </w:p>
    <w:p w14:paraId="48D1B59C" w14:textId="19D864BA" w:rsidR="00607AEC" w:rsidRDefault="00607AEC" w:rsidP="00CA570E">
      <w:r>
        <w:t>A different LS from SA1 on TSN requirements evaluation [2] outines a need to support a large number of UEs by including a table from TS22.104:</w:t>
      </w:r>
    </w:p>
    <w:p w14:paraId="2DB529F6" w14:textId="41376E81" w:rsidR="00607AEC" w:rsidRDefault="00607AEC" w:rsidP="00607AEC">
      <w:pPr>
        <w:pStyle w:val="TH"/>
        <w:rPr>
          <w:rFonts w:eastAsia="MS Mincho"/>
        </w:rPr>
      </w:pPr>
      <w:r>
        <w:rPr>
          <w:rFonts w:eastAsia="MS Mincho"/>
        </w:rPr>
        <w:t>Table 5.6.2-1: Clock synchronization service performance requirements [4]</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607AEC" w14:paraId="12394CF5" w14:textId="77777777" w:rsidTr="00607AEC">
        <w:tc>
          <w:tcPr>
            <w:tcW w:w="896" w:type="pct"/>
            <w:tcBorders>
              <w:top w:val="single" w:sz="4" w:space="0" w:color="auto"/>
              <w:left w:val="single" w:sz="4" w:space="0" w:color="auto"/>
              <w:bottom w:val="single" w:sz="4" w:space="0" w:color="auto"/>
              <w:right w:val="single" w:sz="4" w:space="0" w:color="auto"/>
            </w:tcBorders>
            <w:hideMark/>
          </w:tcPr>
          <w:p w14:paraId="1A1792B1" w14:textId="77777777" w:rsidR="00607AEC" w:rsidRDefault="00607AEC">
            <w:pPr>
              <w:pStyle w:val="TAH"/>
              <w:rPr>
                <w:rFonts w:eastAsia="Times New Roman"/>
              </w:rPr>
            </w:pPr>
            <w:r>
              <w:t xml:space="preserve">User-specific clock synchronicity accuracy level </w:t>
            </w:r>
          </w:p>
        </w:tc>
        <w:tc>
          <w:tcPr>
            <w:tcW w:w="1239" w:type="pct"/>
            <w:tcBorders>
              <w:top w:val="single" w:sz="4" w:space="0" w:color="auto"/>
              <w:left w:val="single" w:sz="4" w:space="0" w:color="auto"/>
              <w:bottom w:val="single" w:sz="4" w:space="0" w:color="auto"/>
              <w:right w:val="single" w:sz="4" w:space="0" w:color="auto"/>
            </w:tcBorders>
            <w:hideMark/>
          </w:tcPr>
          <w:p w14:paraId="15635F5A" w14:textId="77777777" w:rsidR="00607AEC" w:rsidRDefault="00607AEC">
            <w:pPr>
              <w:pStyle w:val="TAH"/>
            </w:pPr>
            <w:r>
              <w:t>Number of devices in one Communication group for clock synchronisation</w:t>
            </w:r>
          </w:p>
        </w:tc>
        <w:tc>
          <w:tcPr>
            <w:tcW w:w="886" w:type="pct"/>
            <w:tcBorders>
              <w:top w:val="single" w:sz="4" w:space="0" w:color="auto"/>
              <w:left w:val="single" w:sz="4" w:space="0" w:color="auto"/>
              <w:bottom w:val="single" w:sz="4" w:space="0" w:color="auto"/>
              <w:right w:val="single" w:sz="4" w:space="0" w:color="auto"/>
            </w:tcBorders>
            <w:hideMark/>
          </w:tcPr>
          <w:p w14:paraId="204DCB60" w14:textId="77777777" w:rsidR="00607AEC" w:rsidRDefault="00607AEC">
            <w:pPr>
              <w:pStyle w:val="TAH"/>
            </w:pPr>
            <w:r>
              <w:t xml:space="preserve">Clock synchronicity requirement </w:t>
            </w:r>
          </w:p>
        </w:tc>
        <w:tc>
          <w:tcPr>
            <w:tcW w:w="829" w:type="pct"/>
            <w:tcBorders>
              <w:top w:val="single" w:sz="4" w:space="0" w:color="auto"/>
              <w:left w:val="single" w:sz="4" w:space="0" w:color="auto"/>
              <w:bottom w:val="single" w:sz="4" w:space="0" w:color="auto"/>
              <w:right w:val="single" w:sz="4" w:space="0" w:color="auto"/>
            </w:tcBorders>
            <w:hideMark/>
          </w:tcPr>
          <w:p w14:paraId="637FE6E2" w14:textId="77777777" w:rsidR="00607AEC" w:rsidRDefault="00607AEC">
            <w:pPr>
              <w:pStyle w:val="TAH"/>
            </w:pPr>
            <w:r>
              <w:t xml:space="preserve">Service area </w:t>
            </w:r>
          </w:p>
        </w:tc>
        <w:tc>
          <w:tcPr>
            <w:tcW w:w="1150" w:type="pct"/>
            <w:tcBorders>
              <w:top w:val="single" w:sz="4" w:space="0" w:color="auto"/>
              <w:left w:val="single" w:sz="4" w:space="0" w:color="auto"/>
              <w:bottom w:val="single" w:sz="4" w:space="0" w:color="auto"/>
              <w:right w:val="single" w:sz="4" w:space="0" w:color="auto"/>
            </w:tcBorders>
            <w:hideMark/>
          </w:tcPr>
          <w:p w14:paraId="3CC9511B" w14:textId="77777777" w:rsidR="00607AEC" w:rsidRDefault="00607AEC">
            <w:pPr>
              <w:pStyle w:val="TAH"/>
            </w:pPr>
            <w:r>
              <w:t>Scenario</w:t>
            </w:r>
          </w:p>
        </w:tc>
      </w:tr>
      <w:tr w:rsidR="00607AEC" w14:paraId="297DD8DE" w14:textId="77777777" w:rsidTr="00607AEC">
        <w:tc>
          <w:tcPr>
            <w:tcW w:w="896" w:type="pct"/>
            <w:tcBorders>
              <w:top w:val="single" w:sz="4" w:space="0" w:color="auto"/>
              <w:left w:val="single" w:sz="4" w:space="0" w:color="auto"/>
              <w:bottom w:val="single" w:sz="4" w:space="0" w:color="auto"/>
              <w:right w:val="single" w:sz="4" w:space="0" w:color="auto"/>
            </w:tcBorders>
            <w:hideMark/>
          </w:tcPr>
          <w:p w14:paraId="3B4A05CE" w14:textId="77777777" w:rsidR="00607AEC" w:rsidRDefault="00607AEC">
            <w:pPr>
              <w:pStyle w:val="TAL"/>
              <w:rPr>
                <w:szCs w:val="24"/>
              </w:rPr>
            </w:pPr>
            <w:r>
              <w:rPr>
                <w:szCs w:val="24"/>
              </w:rPr>
              <w:t>1</w:t>
            </w:r>
          </w:p>
        </w:tc>
        <w:tc>
          <w:tcPr>
            <w:tcW w:w="1239" w:type="pct"/>
            <w:tcBorders>
              <w:top w:val="single" w:sz="4" w:space="0" w:color="auto"/>
              <w:left w:val="single" w:sz="4" w:space="0" w:color="auto"/>
              <w:bottom w:val="single" w:sz="4" w:space="0" w:color="auto"/>
              <w:right w:val="single" w:sz="4" w:space="0" w:color="auto"/>
            </w:tcBorders>
            <w:hideMark/>
          </w:tcPr>
          <w:p w14:paraId="21CD8F86" w14:textId="77777777" w:rsidR="00607AEC" w:rsidRDefault="00607AEC">
            <w:pPr>
              <w:pStyle w:val="TAL"/>
              <w:rPr>
                <w:szCs w:val="24"/>
              </w:rPr>
            </w:pPr>
            <w:r>
              <w:rPr>
                <w:szCs w:val="24"/>
              </w:rPr>
              <w:t>Up to 300 UEs</w:t>
            </w:r>
          </w:p>
        </w:tc>
        <w:tc>
          <w:tcPr>
            <w:tcW w:w="886" w:type="pct"/>
            <w:tcBorders>
              <w:top w:val="single" w:sz="4" w:space="0" w:color="auto"/>
              <w:left w:val="single" w:sz="4" w:space="0" w:color="auto"/>
              <w:bottom w:val="single" w:sz="4" w:space="0" w:color="auto"/>
              <w:right w:val="single" w:sz="4" w:space="0" w:color="auto"/>
            </w:tcBorders>
            <w:hideMark/>
          </w:tcPr>
          <w:p w14:paraId="6607B96E" w14:textId="77777777" w:rsidR="00607AEC" w:rsidRDefault="00607AEC">
            <w:pPr>
              <w:pStyle w:val="TAL"/>
              <w:rPr>
                <w:szCs w:val="24"/>
              </w:rPr>
            </w:pPr>
            <w:r>
              <w:rPr>
                <w:szCs w:val="24"/>
              </w:rPr>
              <w:t>&lt; 1 µs</w:t>
            </w:r>
          </w:p>
        </w:tc>
        <w:tc>
          <w:tcPr>
            <w:tcW w:w="829" w:type="pct"/>
            <w:tcBorders>
              <w:top w:val="single" w:sz="4" w:space="0" w:color="auto"/>
              <w:left w:val="single" w:sz="4" w:space="0" w:color="auto"/>
              <w:bottom w:val="single" w:sz="4" w:space="0" w:color="auto"/>
              <w:right w:val="single" w:sz="4" w:space="0" w:color="auto"/>
            </w:tcBorders>
            <w:hideMark/>
          </w:tcPr>
          <w:p w14:paraId="5161A22D" w14:textId="77777777" w:rsidR="00607AEC" w:rsidRDefault="00607AEC">
            <w:pPr>
              <w:pStyle w:val="TAL"/>
              <w:rPr>
                <w:szCs w:val="24"/>
              </w:rPr>
            </w:pPr>
            <w:r>
              <w:rPr>
                <w:szCs w:val="24"/>
              </w:rPr>
              <w:t>≤ 100 m x 100 m</w:t>
            </w:r>
          </w:p>
        </w:tc>
        <w:tc>
          <w:tcPr>
            <w:tcW w:w="1150" w:type="pct"/>
            <w:tcBorders>
              <w:top w:val="single" w:sz="4" w:space="0" w:color="auto"/>
              <w:left w:val="single" w:sz="4" w:space="0" w:color="auto"/>
              <w:bottom w:val="single" w:sz="4" w:space="0" w:color="auto"/>
              <w:right w:val="single" w:sz="4" w:space="0" w:color="auto"/>
            </w:tcBorders>
            <w:hideMark/>
          </w:tcPr>
          <w:p w14:paraId="299783CC" w14:textId="77777777" w:rsidR="00607AEC" w:rsidRDefault="00607AEC" w:rsidP="00607AEC">
            <w:pPr>
              <w:pStyle w:val="TAL"/>
              <w:numPr>
                <w:ilvl w:val="0"/>
                <w:numId w:val="26"/>
              </w:numPr>
              <w:textAlignment w:val="auto"/>
              <w:rPr>
                <w:lang w:eastAsia="zh-CN"/>
              </w:rPr>
            </w:pPr>
            <w:r>
              <w:rPr>
                <w:lang w:eastAsia="zh-CN"/>
              </w:rPr>
              <w:t>Motion control</w:t>
            </w:r>
          </w:p>
          <w:p w14:paraId="34A7EEB8" w14:textId="77777777" w:rsidR="00607AEC" w:rsidRDefault="00607AEC" w:rsidP="00607AEC">
            <w:pPr>
              <w:pStyle w:val="TAL"/>
              <w:numPr>
                <w:ilvl w:val="0"/>
                <w:numId w:val="26"/>
              </w:numPr>
              <w:textAlignment w:val="auto"/>
              <w:rPr>
                <w:rFonts w:eastAsia="Times New Roman"/>
                <w:i/>
                <w:iCs/>
                <w:lang w:eastAsia="en-GB"/>
              </w:rPr>
            </w:pPr>
            <w:r>
              <w:rPr>
                <w:lang w:eastAsia="zh-CN"/>
              </w:rPr>
              <w:t>Control-to-control communication for industrial controller</w:t>
            </w:r>
          </w:p>
        </w:tc>
      </w:tr>
      <w:tr w:rsidR="00607AEC" w14:paraId="2CDF70FE" w14:textId="77777777" w:rsidTr="00607AEC">
        <w:tc>
          <w:tcPr>
            <w:tcW w:w="896" w:type="pct"/>
            <w:tcBorders>
              <w:top w:val="single" w:sz="4" w:space="0" w:color="auto"/>
              <w:left w:val="single" w:sz="4" w:space="0" w:color="auto"/>
              <w:bottom w:val="single" w:sz="4" w:space="0" w:color="auto"/>
              <w:right w:val="single" w:sz="4" w:space="0" w:color="auto"/>
            </w:tcBorders>
            <w:hideMark/>
          </w:tcPr>
          <w:p w14:paraId="5BF59630" w14:textId="77777777" w:rsidR="00607AEC" w:rsidRDefault="00607AEC">
            <w:pPr>
              <w:pStyle w:val="TAL"/>
              <w:rPr>
                <w:szCs w:val="24"/>
              </w:rPr>
            </w:pPr>
            <w:r>
              <w:rPr>
                <w:szCs w:val="24"/>
              </w:rPr>
              <w:t>2</w:t>
            </w:r>
          </w:p>
        </w:tc>
        <w:tc>
          <w:tcPr>
            <w:tcW w:w="1239" w:type="pct"/>
            <w:tcBorders>
              <w:top w:val="single" w:sz="4" w:space="0" w:color="auto"/>
              <w:left w:val="single" w:sz="4" w:space="0" w:color="auto"/>
              <w:bottom w:val="single" w:sz="4" w:space="0" w:color="auto"/>
              <w:right w:val="single" w:sz="4" w:space="0" w:color="auto"/>
            </w:tcBorders>
            <w:hideMark/>
          </w:tcPr>
          <w:p w14:paraId="778F8B99" w14:textId="77777777" w:rsidR="00607AEC" w:rsidRDefault="00607AEC">
            <w:pPr>
              <w:pStyle w:val="TAL"/>
              <w:rPr>
                <w:szCs w:val="24"/>
              </w:rPr>
            </w:pPr>
            <w:r>
              <w:rPr>
                <w:szCs w:val="24"/>
              </w:rPr>
              <w:t>Up to 10 UEs</w:t>
            </w:r>
          </w:p>
        </w:tc>
        <w:tc>
          <w:tcPr>
            <w:tcW w:w="886" w:type="pct"/>
            <w:tcBorders>
              <w:top w:val="single" w:sz="4" w:space="0" w:color="auto"/>
              <w:left w:val="single" w:sz="4" w:space="0" w:color="auto"/>
              <w:bottom w:val="single" w:sz="4" w:space="0" w:color="auto"/>
              <w:right w:val="single" w:sz="4" w:space="0" w:color="auto"/>
            </w:tcBorders>
            <w:hideMark/>
          </w:tcPr>
          <w:p w14:paraId="58EB5674" w14:textId="77777777" w:rsidR="00607AEC" w:rsidRDefault="00607AEC">
            <w:pPr>
              <w:pStyle w:val="TAL"/>
              <w:rPr>
                <w:szCs w:val="24"/>
              </w:rPr>
            </w:pPr>
            <w:r>
              <w:rPr>
                <w:szCs w:val="24"/>
              </w:rPr>
              <w:t>&lt; 10 µs</w:t>
            </w:r>
          </w:p>
        </w:tc>
        <w:tc>
          <w:tcPr>
            <w:tcW w:w="829" w:type="pct"/>
            <w:tcBorders>
              <w:top w:val="single" w:sz="4" w:space="0" w:color="auto"/>
              <w:left w:val="single" w:sz="4" w:space="0" w:color="auto"/>
              <w:bottom w:val="single" w:sz="4" w:space="0" w:color="auto"/>
              <w:right w:val="single" w:sz="4" w:space="0" w:color="auto"/>
            </w:tcBorders>
            <w:hideMark/>
          </w:tcPr>
          <w:p w14:paraId="5760934E" w14:textId="77777777" w:rsidR="00607AEC" w:rsidRDefault="00607AEC">
            <w:pPr>
              <w:pStyle w:val="TAL"/>
              <w:rPr>
                <w:szCs w:val="24"/>
              </w:rPr>
            </w:pPr>
            <w:r>
              <w:rPr>
                <w:rFonts w:eastAsia="MS Mincho"/>
                <w:szCs w:val="24"/>
              </w:rPr>
              <w:t>≤ 2500 m</w:t>
            </w:r>
            <w:r>
              <w:rPr>
                <w:rFonts w:eastAsia="MS Mincho"/>
                <w:szCs w:val="24"/>
                <w:vertAlign w:val="superscript"/>
              </w:rPr>
              <w:t>2</w:t>
            </w:r>
          </w:p>
        </w:tc>
        <w:tc>
          <w:tcPr>
            <w:tcW w:w="1150" w:type="pct"/>
            <w:tcBorders>
              <w:top w:val="single" w:sz="4" w:space="0" w:color="auto"/>
              <w:left w:val="single" w:sz="4" w:space="0" w:color="auto"/>
              <w:bottom w:val="single" w:sz="4" w:space="0" w:color="auto"/>
              <w:right w:val="single" w:sz="4" w:space="0" w:color="auto"/>
            </w:tcBorders>
            <w:hideMark/>
          </w:tcPr>
          <w:p w14:paraId="2EFFF825" w14:textId="77777777" w:rsidR="00607AEC" w:rsidRDefault="00607AEC" w:rsidP="00607AEC">
            <w:pPr>
              <w:pStyle w:val="TAL"/>
              <w:numPr>
                <w:ilvl w:val="0"/>
                <w:numId w:val="26"/>
              </w:numPr>
              <w:textAlignment w:val="auto"/>
              <w:rPr>
                <w:i/>
                <w:iCs/>
              </w:rPr>
            </w:pPr>
            <w:r>
              <w:rPr>
                <w:rFonts w:eastAsia="MS Mincho"/>
              </w:rPr>
              <w:t>High data rate video streaming</w:t>
            </w:r>
          </w:p>
        </w:tc>
      </w:tr>
      <w:tr w:rsidR="00607AEC" w14:paraId="408DAB19" w14:textId="77777777" w:rsidTr="00607AEC">
        <w:tc>
          <w:tcPr>
            <w:tcW w:w="896" w:type="pct"/>
            <w:tcBorders>
              <w:top w:val="single" w:sz="4" w:space="0" w:color="auto"/>
              <w:left w:val="single" w:sz="4" w:space="0" w:color="auto"/>
              <w:bottom w:val="single" w:sz="4" w:space="0" w:color="auto"/>
              <w:right w:val="single" w:sz="4" w:space="0" w:color="auto"/>
            </w:tcBorders>
            <w:hideMark/>
          </w:tcPr>
          <w:p w14:paraId="12FE9A0A" w14:textId="77777777" w:rsidR="00607AEC" w:rsidRDefault="00607AEC">
            <w:pPr>
              <w:pStyle w:val="TAL"/>
              <w:rPr>
                <w:rFonts w:cs="Arial"/>
                <w:szCs w:val="18"/>
              </w:rPr>
            </w:pPr>
            <w:r>
              <w:rPr>
                <w:rFonts w:cs="Arial"/>
                <w:szCs w:val="18"/>
              </w:rPr>
              <w:t>3</w:t>
            </w:r>
          </w:p>
        </w:tc>
        <w:tc>
          <w:tcPr>
            <w:tcW w:w="1239" w:type="pct"/>
            <w:tcBorders>
              <w:top w:val="single" w:sz="4" w:space="0" w:color="auto"/>
              <w:left w:val="single" w:sz="4" w:space="0" w:color="auto"/>
              <w:bottom w:val="single" w:sz="4" w:space="0" w:color="auto"/>
              <w:right w:val="single" w:sz="4" w:space="0" w:color="auto"/>
            </w:tcBorders>
            <w:hideMark/>
          </w:tcPr>
          <w:p w14:paraId="4C683C56" w14:textId="77777777" w:rsidR="00607AEC" w:rsidRDefault="00607AEC">
            <w:pPr>
              <w:pStyle w:val="TAL"/>
              <w:rPr>
                <w:rFonts w:cs="Arial"/>
                <w:szCs w:val="18"/>
              </w:rPr>
            </w:pPr>
            <w:r>
              <w:rPr>
                <w:rFonts w:cs="Arial"/>
                <w:szCs w:val="18"/>
              </w:rPr>
              <w:t>Up to 100 UEs</w:t>
            </w:r>
          </w:p>
        </w:tc>
        <w:tc>
          <w:tcPr>
            <w:tcW w:w="886" w:type="pct"/>
            <w:tcBorders>
              <w:top w:val="single" w:sz="4" w:space="0" w:color="auto"/>
              <w:left w:val="single" w:sz="4" w:space="0" w:color="auto"/>
              <w:bottom w:val="single" w:sz="4" w:space="0" w:color="auto"/>
              <w:right w:val="single" w:sz="4" w:space="0" w:color="auto"/>
            </w:tcBorders>
            <w:hideMark/>
          </w:tcPr>
          <w:p w14:paraId="55DF8CC0" w14:textId="77777777" w:rsidR="00607AEC" w:rsidRDefault="00607AEC">
            <w:pPr>
              <w:pStyle w:val="TAL"/>
              <w:rPr>
                <w:rFonts w:cs="Arial"/>
                <w:szCs w:val="18"/>
              </w:rPr>
            </w:pPr>
            <w:r>
              <w:rPr>
                <w:rFonts w:cs="Arial"/>
                <w:szCs w:val="18"/>
              </w:rPr>
              <w:t>&lt; 1 µs</w:t>
            </w:r>
          </w:p>
        </w:tc>
        <w:tc>
          <w:tcPr>
            <w:tcW w:w="829" w:type="pct"/>
            <w:tcBorders>
              <w:top w:val="single" w:sz="4" w:space="0" w:color="auto"/>
              <w:left w:val="single" w:sz="4" w:space="0" w:color="auto"/>
              <w:bottom w:val="single" w:sz="4" w:space="0" w:color="auto"/>
              <w:right w:val="single" w:sz="4" w:space="0" w:color="auto"/>
            </w:tcBorders>
            <w:hideMark/>
          </w:tcPr>
          <w:p w14:paraId="7C2795F6" w14:textId="77777777" w:rsidR="00607AEC" w:rsidRDefault="00607AEC">
            <w:pPr>
              <w:pStyle w:val="TAL"/>
              <w:rPr>
                <w:rFonts w:eastAsia="Microsoft YaHei" w:cs="Arial"/>
                <w:color w:val="000000"/>
                <w:szCs w:val="18"/>
              </w:rPr>
            </w:pPr>
            <w:r>
              <w:rPr>
                <w:rFonts w:eastAsia="Microsoft YaHei" w:cs="Arial"/>
                <w:color w:val="000000"/>
                <w:szCs w:val="18"/>
              </w:rPr>
              <w:t>&lt; 20 km</w:t>
            </w:r>
            <w:r>
              <w:rPr>
                <w:rFonts w:eastAsia="Microsoft YaHei" w:cs="Arial"/>
                <w:color w:val="000000"/>
                <w:szCs w:val="18"/>
                <w:vertAlign w:val="superscript"/>
              </w:rPr>
              <w:t>2</w:t>
            </w:r>
          </w:p>
        </w:tc>
        <w:tc>
          <w:tcPr>
            <w:tcW w:w="1150" w:type="pct"/>
            <w:tcBorders>
              <w:top w:val="single" w:sz="4" w:space="0" w:color="auto"/>
              <w:left w:val="single" w:sz="4" w:space="0" w:color="auto"/>
              <w:bottom w:val="single" w:sz="4" w:space="0" w:color="auto"/>
              <w:right w:val="single" w:sz="4" w:space="0" w:color="auto"/>
            </w:tcBorders>
            <w:hideMark/>
          </w:tcPr>
          <w:p w14:paraId="15B0F402" w14:textId="77777777" w:rsidR="00607AEC" w:rsidRDefault="00607AEC" w:rsidP="00607AEC">
            <w:pPr>
              <w:pStyle w:val="TAL"/>
              <w:keepLines w:val="0"/>
              <w:numPr>
                <w:ilvl w:val="0"/>
                <w:numId w:val="26"/>
              </w:numPr>
              <w:overflowPunct/>
              <w:autoSpaceDE/>
              <w:adjustRightInd/>
              <w:textAlignment w:val="auto"/>
              <w:rPr>
                <w:rFonts w:eastAsia="MS Mincho" w:cs="Arial"/>
                <w:szCs w:val="18"/>
              </w:rPr>
            </w:pPr>
            <w:r>
              <w:rPr>
                <w:rFonts w:cs="Arial"/>
                <w:szCs w:val="18"/>
              </w:rPr>
              <w:t>Smart Grid: synchronicity between PMUs</w:t>
            </w:r>
          </w:p>
        </w:tc>
      </w:tr>
    </w:tbl>
    <w:p w14:paraId="15E9A4AB" w14:textId="77777777" w:rsidR="00607AEC" w:rsidRDefault="00607AEC" w:rsidP="00607AEC">
      <w:pPr>
        <w:rPr>
          <w:rFonts w:eastAsia="Times New Roman"/>
          <w:lang w:eastAsia="zh-CN"/>
        </w:rPr>
      </w:pPr>
    </w:p>
    <w:p w14:paraId="1A6B7D03" w14:textId="3970D534" w:rsidR="00607AEC" w:rsidRPr="00CA570E" w:rsidRDefault="00607AEC" w:rsidP="00CA570E">
      <w:r>
        <w:t xml:space="preserve">As it appears that there is requirement to support a fairly large number of devices within a fairly confined area, and in order to enable timely delivery of the timing information for all the UEs without congesting the system or requiring a large number of gNBs just for timing delivery, </w:t>
      </w:r>
      <w:r w:rsidR="00855775">
        <w:t>the solutions that enable broadcasting the timing information in the cell are preferable.</w:t>
      </w:r>
    </w:p>
    <w:p w14:paraId="4E0FD4B4" w14:textId="59D135AA" w:rsidR="00CA570E" w:rsidRPr="00ED1327" w:rsidRDefault="00CA570E" w:rsidP="00CA570E">
      <w:pPr>
        <w:pStyle w:val="Heading1"/>
      </w:pPr>
      <w:r>
        <w:t>Conclusion</w:t>
      </w:r>
    </w:p>
    <w:p w14:paraId="65461410" w14:textId="4FC4AD80" w:rsidR="004741F0" w:rsidRPr="004741F0" w:rsidRDefault="00CA570E" w:rsidP="004741F0">
      <w:pPr>
        <w:rPr>
          <w:lang w:val="en-US"/>
        </w:rPr>
      </w:pPr>
      <w:r>
        <w:t>Based on SA2 LS, TR23.734 and the related discussion in this document, a draft LS response is provided in [</w:t>
      </w:r>
      <w:r w:rsidR="00607AEC">
        <w:t>5</w:t>
      </w:r>
      <w:r>
        <w:t>] as a response to the SA2 LS</w:t>
      </w:r>
      <w:r w:rsidR="00607AEC">
        <w:t>, and indicate that solutions that enable broadcasting the timing information in the cell are preferable from scalability perspective</w:t>
      </w:r>
      <w:r>
        <w:t>.</w:t>
      </w:r>
    </w:p>
    <w:p w14:paraId="53CD9119" w14:textId="77777777" w:rsidR="00885580" w:rsidRPr="00ED1327" w:rsidRDefault="00885580" w:rsidP="00885580">
      <w:pPr>
        <w:pStyle w:val="Heading1"/>
        <w:numPr>
          <w:ilvl w:val="0"/>
          <w:numId w:val="0"/>
        </w:numPr>
      </w:pPr>
      <w:r>
        <w:t>References</w:t>
      </w:r>
    </w:p>
    <w:p w14:paraId="720B4C8B" w14:textId="2EE2DD3D" w:rsidR="00B158E6" w:rsidRDefault="00CF2D45" w:rsidP="00E245E6">
      <w:pPr>
        <w:pStyle w:val="ListParagraph"/>
        <w:numPr>
          <w:ilvl w:val="0"/>
          <w:numId w:val="12"/>
        </w:numPr>
        <w:spacing w:after="120"/>
        <w:contextualSpacing w:val="0"/>
        <w:rPr>
          <w:sz w:val="20"/>
          <w:lang w:val="en-US"/>
        </w:rPr>
      </w:pPr>
      <w:hyperlink r:id="rId13" w:history="1">
        <w:r w:rsidR="00E245E6">
          <w:rPr>
            <w:rStyle w:val="Hyperlink"/>
            <w:sz w:val="20"/>
            <w:szCs w:val="20"/>
            <w:lang w:val="en-US" w:eastAsia="x-none"/>
          </w:rPr>
          <w:t>R1-1900013</w:t>
        </w:r>
      </w:hyperlink>
      <w:r w:rsidR="00B158E6">
        <w:rPr>
          <w:sz w:val="20"/>
          <w:lang w:val="en-US"/>
        </w:rPr>
        <w:tab/>
      </w:r>
      <w:r w:rsidR="00AF48A0" w:rsidRPr="00B158E6">
        <w:rPr>
          <w:sz w:val="20"/>
          <w:lang w:val="en-US"/>
        </w:rPr>
        <w:t>“</w:t>
      </w:r>
      <w:r w:rsidR="00E245E6" w:rsidRPr="00E245E6">
        <w:rPr>
          <w:sz w:val="20"/>
          <w:lang w:val="en-US"/>
        </w:rPr>
        <w:t>LS on RAN Impact analysis due to TSN</w:t>
      </w:r>
      <w:r w:rsidR="00E245E6">
        <w:rPr>
          <w:sz w:val="20"/>
          <w:lang w:val="en-US"/>
        </w:rPr>
        <w:t>”, SA2</w:t>
      </w:r>
    </w:p>
    <w:p w14:paraId="504E431A" w14:textId="29CC494C" w:rsidR="00607AEC" w:rsidRPr="00B158E6" w:rsidRDefault="00CF2D45" w:rsidP="00607AEC">
      <w:pPr>
        <w:pStyle w:val="ListParagraph"/>
        <w:numPr>
          <w:ilvl w:val="0"/>
          <w:numId w:val="12"/>
        </w:numPr>
        <w:spacing w:after="120"/>
        <w:contextualSpacing w:val="0"/>
        <w:rPr>
          <w:sz w:val="20"/>
          <w:lang w:val="en-US"/>
        </w:rPr>
      </w:pPr>
      <w:hyperlink r:id="rId14" w:history="1">
        <w:r w:rsidR="00607AEC" w:rsidRPr="00607AEC">
          <w:rPr>
            <w:rStyle w:val="Hyperlink"/>
            <w:sz w:val="20"/>
            <w:lang w:val="en-US"/>
          </w:rPr>
          <w:t>R1-1901103</w:t>
        </w:r>
      </w:hyperlink>
      <w:r w:rsidR="00607AEC">
        <w:rPr>
          <w:sz w:val="20"/>
          <w:lang w:val="en-US"/>
        </w:rPr>
        <w:tab/>
        <w:t>“</w:t>
      </w:r>
      <w:r w:rsidR="00607AEC" w:rsidRPr="00607AEC">
        <w:rPr>
          <w:sz w:val="20"/>
          <w:lang w:val="en-US"/>
        </w:rPr>
        <w:t>Reply LS on TSN requirements evaluation</w:t>
      </w:r>
      <w:r w:rsidR="00607AEC">
        <w:rPr>
          <w:sz w:val="20"/>
          <w:lang w:val="en-US"/>
        </w:rPr>
        <w:t>”, SA1</w:t>
      </w:r>
    </w:p>
    <w:p w14:paraId="0FC1405E" w14:textId="77777777" w:rsidR="00607AEC" w:rsidRDefault="00CF2D45" w:rsidP="00E210B3">
      <w:pPr>
        <w:pStyle w:val="ListParagraph"/>
        <w:numPr>
          <w:ilvl w:val="0"/>
          <w:numId w:val="12"/>
        </w:numPr>
        <w:spacing w:after="120"/>
        <w:contextualSpacing w:val="0"/>
        <w:rPr>
          <w:sz w:val="20"/>
          <w:lang w:val="en-US"/>
        </w:rPr>
      </w:pPr>
      <w:hyperlink r:id="rId15" w:history="1">
        <w:r w:rsidR="00E245E6" w:rsidRPr="00607AEC">
          <w:rPr>
            <w:rStyle w:val="Hyperlink"/>
            <w:sz w:val="20"/>
            <w:szCs w:val="20"/>
            <w:lang w:val="en-US" w:eastAsia="x-none"/>
          </w:rPr>
          <w:t>3GPP TR23.734</w:t>
        </w:r>
      </w:hyperlink>
      <w:r w:rsidR="00E245E6" w:rsidRPr="00607AEC">
        <w:rPr>
          <w:sz w:val="20"/>
          <w:lang w:val="en-US"/>
        </w:rPr>
        <w:tab/>
      </w:r>
      <w:r w:rsidR="005B0D4A" w:rsidRPr="00607AEC">
        <w:rPr>
          <w:sz w:val="20"/>
          <w:lang w:val="en-US"/>
        </w:rPr>
        <w:t>“</w:t>
      </w:r>
      <w:r w:rsidR="00E245E6" w:rsidRPr="00607AEC">
        <w:rPr>
          <w:sz w:val="20"/>
          <w:lang w:val="en-US"/>
        </w:rPr>
        <w:t>Study on 5GS Enhanced support of Vertical and LAN Services”, V0.4.0</w:t>
      </w:r>
      <w:r w:rsidR="00B158E6" w:rsidRPr="00607AEC">
        <w:rPr>
          <w:sz w:val="20"/>
          <w:lang w:val="en-US"/>
        </w:rPr>
        <w:t>.</w:t>
      </w:r>
    </w:p>
    <w:p w14:paraId="2A35F4F6" w14:textId="295C7474" w:rsidR="00607AEC" w:rsidRPr="00607AEC" w:rsidRDefault="00CF2D45" w:rsidP="00E210B3">
      <w:pPr>
        <w:pStyle w:val="ListParagraph"/>
        <w:numPr>
          <w:ilvl w:val="0"/>
          <w:numId w:val="12"/>
        </w:numPr>
        <w:spacing w:after="120"/>
        <w:contextualSpacing w:val="0"/>
        <w:rPr>
          <w:sz w:val="20"/>
          <w:lang w:val="en-US"/>
        </w:rPr>
      </w:pPr>
      <w:hyperlink r:id="rId16" w:history="1">
        <w:r w:rsidR="00607AEC" w:rsidRPr="00607AEC">
          <w:rPr>
            <w:rStyle w:val="Hyperlink"/>
            <w:sz w:val="20"/>
            <w:lang w:val="en-US"/>
          </w:rPr>
          <w:t>3GPP TR22.104</w:t>
        </w:r>
      </w:hyperlink>
      <w:r w:rsidR="00607AEC" w:rsidRPr="00607AEC">
        <w:rPr>
          <w:sz w:val="20"/>
          <w:lang w:val="en-US"/>
        </w:rPr>
        <w:t xml:space="preserve"> “Service requirements for cyber-physical control applications in vertical domains; Stage 2”, V16.0.0</w:t>
      </w:r>
    </w:p>
    <w:p w14:paraId="2491DD33" w14:textId="166B83FD" w:rsidR="00CA570E" w:rsidRDefault="00CF2D45" w:rsidP="00E245E6">
      <w:pPr>
        <w:pStyle w:val="ListParagraph"/>
        <w:numPr>
          <w:ilvl w:val="0"/>
          <w:numId w:val="12"/>
        </w:numPr>
        <w:spacing w:after="120"/>
        <w:contextualSpacing w:val="0"/>
        <w:rPr>
          <w:sz w:val="20"/>
          <w:lang w:val="en-US"/>
        </w:rPr>
      </w:pPr>
      <w:hyperlink r:id="rId17" w:history="1">
        <w:r w:rsidR="00F7038E" w:rsidRPr="00F7038E">
          <w:rPr>
            <w:rStyle w:val="Hyperlink"/>
            <w:sz w:val="20"/>
            <w:lang w:val="en-US"/>
          </w:rPr>
          <w:t>R1-1901021</w:t>
        </w:r>
      </w:hyperlink>
      <w:r w:rsidR="00CA570E">
        <w:rPr>
          <w:sz w:val="20"/>
          <w:lang w:val="en-US"/>
        </w:rPr>
        <w:t xml:space="preserve"> “DRAFT</w:t>
      </w:r>
      <w:bookmarkStart w:id="2" w:name="_GoBack"/>
      <w:bookmarkEnd w:id="2"/>
      <w:r w:rsidR="00CA570E">
        <w:rPr>
          <w:sz w:val="20"/>
          <w:lang w:val="en-US"/>
        </w:rPr>
        <w:t xml:space="preserve"> Reply LS on RAN impact analysis due to TSN”; Nokia</w:t>
      </w:r>
    </w:p>
    <w:sectPr w:rsidR="00CA570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99DE1" w14:textId="77777777" w:rsidR="006552FE" w:rsidRDefault="006552FE">
      <w:r>
        <w:separator/>
      </w:r>
    </w:p>
  </w:endnote>
  <w:endnote w:type="continuationSeparator" w:id="0">
    <w:p w14:paraId="6EAB445F" w14:textId="77777777" w:rsidR="006552FE" w:rsidRDefault="0065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C9029" w14:textId="77777777" w:rsidR="006552FE" w:rsidRDefault="006552FE">
      <w:r>
        <w:separator/>
      </w:r>
    </w:p>
  </w:footnote>
  <w:footnote w:type="continuationSeparator" w:id="0">
    <w:p w14:paraId="10E96BB6" w14:textId="77777777" w:rsidR="006552FE" w:rsidRDefault="00655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0F4D25"/>
    <w:multiLevelType w:val="hybridMultilevel"/>
    <w:tmpl w:val="7BB6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CA341FA"/>
    <w:multiLevelType w:val="hybridMultilevel"/>
    <w:tmpl w:val="5E9CEA0C"/>
    <w:lvl w:ilvl="0" w:tplc="E5F812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CE3E44"/>
    <w:multiLevelType w:val="hybridMultilevel"/>
    <w:tmpl w:val="36AA672E"/>
    <w:lvl w:ilvl="0" w:tplc="965CDB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8601E0"/>
    <w:multiLevelType w:val="hybridMultilevel"/>
    <w:tmpl w:val="606A4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208D2"/>
    <w:multiLevelType w:val="hybridMultilevel"/>
    <w:tmpl w:val="4A90EA86"/>
    <w:lvl w:ilvl="0" w:tplc="444812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1B484B"/>
    <w:multiLevelType w:val="hybridMultilevel"/>
    <w:tmpl w:val="44D876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6AB3345F"/>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600F2F"/>
    <w:multiLevelType w:val="hybridMultilevel"/>
    <w:tmpl w:val="6A328700"/>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0"/>
  </w:num>
  <w:num w:numId="4">
    <w:abstractNumId w:val="1"/>
  </w:num>
  <w:num w:numId="5">
    <w:abstractNumId w:val="13"/>
  </w:num>
  <w:num w:numId="6">
    <w:abstractNumId w:val="20"/>
  </w:num>
  <w:num w:numId="7">
    <w:abstractNumId w:val="14"/>
  </w:num>
  <w:num w:numId="8">
    <w:abstractNumId w:val="12"/>
  </w:num>
  <w:num w:numId="9">
    <w:abstractNumId w:val="24"/>
  </w:num>
  <w:num w:numId="10">
    <w:abstractNumId w:val="3"/>
  </w:num>
  <w:num w:numId="11">
    <w:abstractNumId w:val="15"/>
  </w:num>
  <w:num w:numId="12">
    <w:abstractNumId w:val="2"/>
  </w:num>
  <w:num w:numId="13">
    <w:abstractNumId w:val="9"/>
  </w:num>
  <w:num w:numId="14">
    <w:abstractNumId w:val="17"/>
  </w:num>
  <w:num w:numId="15">
    <w:abstractNumId w:val="25"/>
  </w:num>
  <w:num w:numId="16">
    <w:abstractNumId w:val="11"/>
  </w:num>
  <w:num w:numId="17">
    <w:abstractNumId w:val="23"/>
  </w:num>
  <w:num w:numId="18">
    <w:abstractNumId w:val="21"/>
  </w:num>
  <w:num w:numId="19">
    <w:abstractNumId w:val="4"/>
  </w:num>
  <w:num w:numId="20">
    <w:abstractNumId w:val="7"/>
  </w:num>
  <w:num w:numId="21">
    <w:abstractNumId w:val="16"/>
  </w:num>
  <w:num w:numId="22">
    <w:abstractNumId w:val="19"/>
  </w:num>
  <w:num w:numId="23">
    <w:abstractNumId w:val="6"/>
  </w:num>
  <w:num w:numId="24">
    <w:abstractNumId w:val="10"/>
  </w:num>
  <w:num w:numId="25">
    <w:abstractNumId w:val="8"/>
  </w:num>
  <w:num w:numId="26">
    <w:abstractNumId w:val="22"/>
  </w:num>
  <w:num w:numId="27">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2E88"/>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F39"/>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3FE"/>
    <w:rsid w:val="00302AE8"/>
    <w:rsid w:val="00302BB1"/>
    <w:rsid w:val="00302F59"/>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1F0"/>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3FCE"/>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0D4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426"/>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AEC"/>
    <w:rsid w:val="00607D81"/>
    <w:rsid w:val="00610469"/>
    <w:rsid w:val="00610747"/>
    <w:rsid w:val="00610E03"/>
    <w:rsid w:val="0061176E"/>
    <w:rsid w:val="00613EA5"/>
    <w:rsid w:val="00614CD1"/>
    <w:rsid w:val="006151F2"/>
    <w:rsid w:val="0061567B"/>
    <w:rsid w:val="00615AC8"/>
    <w:rsid w:val="006201A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2FE"/>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32F"/>
    <w:rsid w:val="006A0DD3"/>
    <w:rsid w:val="006A0EA8"/>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0B0"/>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A4"/>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21A4"/>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775"/>
    <w:rsid w:val="00855B86"/>
    <w:rsid w:val="00856D47"/>
    <w:rsid w:val="00860874"/>
    <w:rsid w:val="008609A3"/>
    <w:rsid w:val="00860E2B"/>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A62"/>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0A7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A787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8E6"/>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1F9"/>
    <w:rsid w:val="00B82613"/>
    <w:rsid w:val="00B828B5"/>
    <w:rsid w:val="00B829B1"/>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570E"/>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2D45"/>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4C77"/>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1C8"/>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E6C"/>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5E6"/>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3BF"/>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33E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0BF5"/>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38E"/>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14A3"/>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743"/>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2D2336A"/>
    <w:rsid w:val="3E61DC49"/>
    <w:rsid w:val="7E3A7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semiHidden/>
    <w:unhideWhenUsed/>
    <w:rsid w:val="00E245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714220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173794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6270876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0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99068285">
      <w:bodyDiv w:val="1"/>
      <w:marLeft w:val="0"/>
      <w:marRight w:val="0"/>
      <w:marTop w:val="0"/>
      <w:marBottom w:val="0"/>
      <w:divBdr>
        <w:top w:val="none" w:sz="0" w:space="0" w:color="auto"/>
        <w:left w:val="none" w:sz="0" w:space="0" w:color="auto"/>
        <w:bottom w:val="none" w:sz="0" w:space="0" w:color="auto"/>
        <w:right w:val="none" w:sz="0" w:space="0" w:color="auto"/>
      </w:divBdr>
    </w:div>
    <w:div w:id="200724919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AH/NR_AH_1901/Docs/R1-190001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AH/NR_AH_1901/Docs/R1-1901021.zip" TargetMode="External"/><Relationship Id="rId2" Type="http://schemas.openxmlformats.org/officeDocument/2006/relationships/customXml" Target="../customXml/item2.xml"/><Relationship Id="rId16" Type="http://schemas.openxmlformats.org/officeDocument/2006/relationships/hyperlink" Target="http://www.3gpp.org/ftp/Specs/latest/Rel-16/22_series/22104-g0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sa/WG2_Arch/Latest_SA2_Specs/Latest_draft_S2_Specs/23734-040.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AH/NR_AH_1901/Docs/R1-19011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5AIRPNAIUNRU-1830940522-4658</_dlc_DocId>
    <_dlc_DocIdUrl xmlns="71c5aaf6-e6ce-465b-b873-5148d2a4c105">
      <Url>https://nokia.sharepoint.com/sites/c5g/5gradio/_layouts/15/DocIdRedir.aspx?ID=5AIRPNAIUNRU-1830940522-4658</Url>
      <Description>5AIRPNAIUNRU-1830940522-4658</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schemas.microsoft.com/office/infopath/2007/PartnerControls"/>
    <ds:schemaRef ds:uri="http://schemas.microsoft.com/office/2006/documentManagement/types"/>
    <ds:schemaRef ds:uri="3b34c8f0-1ef5-4d1e-bb66-517ce7fe7356"/>
    <ds:schemaRef ds:uri="http://www.w3.org/XML/1998/namespace"/>
    <ds:schemaRef ds:uri="http://purl.org/dc/elements/1.1/"/>
    <ds:schemaRef ds:uri="95d2e41d-1f11-4347-bb1c-11d6a32975dd"/>
    <ds:schemaRef ds:uri="http://schemas.microsoft.com/office/2006/metadata/properties"/>
    <ds:schemaRef ds:uri="http://schemas.openxmlformats.org/package/2006/metadata/core-properties"/>
    <ds:schemaRef ds:uri="ebabf6ce-2443-438c-9946-ecc878e7654a"/>
    <ds:schemaRef ds:uri="71c5aaf6-e6ce-465b-b873-5148d2a4c105"/>
    <ds:schemaRef ds:uri="http://purl.org/dc/dcmitype/"/>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89A21D-0383-4F31-825C-E1BEF710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2</Pages>
  <Words>1095</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7</cp:revision>
  <cp:lastPrinted>2016-06-20T11:35:00Z</cp:lastPrinted>
  <dcterms:created xsi:type="dcterms:W3CDTF">2019-01-11T08:50:00Z</dcterms:created>
  <dcterms:modified xsi:type="dcterms:W3CDTF">2019-01-11T13:43:00Z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e09375d3-fb89-4c0d-9f2e-fdaa9bffca87</vt:lpwstr>
  </property>
</Properties>
</file>